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20"/>
        <w:gridCol w:w="3420"/>
      </w:tblGrid>
      <w:tr w:rsidR="7D9E1E08" w:rsidTr="7D9E1E08" w14:paraId="04D03750">
        <w:trPr>
          <w:trHeight w:val="300"/>
        </w:trPr>
        <w:tc>
          <w:tcPr>
            <w:tcW w:w="22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686AD32C" w14:textId="3E99B88F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D9E1E08" w:rsidR="7D9E1E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Project Governance: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Provides strategic direction and provides approval</w:t>
            </w:r>
          </w:p>
          <w:p w:rsidR="7D9E1E08" w:rsidP="7D9E1E08" w:rsidRDefault="7D9E1E08" w14:paraId="3BA6310B" w14:textId="120CC7B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</w:pPr>
          </w:p>
          <w:p w:rsidR="7D9E1E08" w:rsidP="7D9E1E08" w:rsidRDefault="7D9E1E08" w14:paraId="2A7C6C2E" w14:textId="729E7F5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</w:pPr>
          </w:p>
        </w:tc>
        <w:tc>
          <w:tcPr>
            <w:tcW w:w="7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1C2AA0A1" w14:textId="6FF1CC0C">
            <w:pPr>
              <w:pStyle w:val="TableBullet1"/>
              <w:spacing w:before="60" w:after="60" w:line="276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Provides strategic direction for the project and guides project progress through senior level approval for aspects of the project including charter, initiative prioritization, and key decisions on escalated items</w:t>
            </w:r>
          </w:p>
        </w:tc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9E1E08" w:rsidP="7D9E1E08" w:rsidRDefault="7D9E1E08" w14:paraId="7082E172" w14:textId="7B2BA89E">
            <w:pPr>
              <w:spacing w:before="60" w:after="60" w:line="276" w:lineRule="auto"/>
              <w:ind w:left="36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D9E1E08" w:rsidTr="7D9E1E08" w14:paraId="172FB8BB">
        <w:trPr>
          <w:trHeight w:val="300"/>
        </w:trPr>
        <w:tc>
          <w:tcPr>
            <w:tcW w:w="22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71B77B69" w14:textId="17C23EDB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D9E1E08" w:rsidR="7D9E1E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Sponsor: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Champions project and is accountable for project business value delivery</w:t>
            </w:r>
          </w:p>
        </w:tc>
        <w:tc>
          <w:tcPr>
            <w:tcW w:w="7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54BD93CF" w14:textId="1059DBA4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Champions project effort and is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ultimately accountable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for the project business value delivery</w:t>
            </w:r>
          </w:p>
          <w:p w:rsidR="7D9E1E08" w:rsidP="7D9E1E08" w:rsidRDefault="7D9E1E08" w14:paraId="7548EFD0" w14:textId="733FA7E0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Provides direction on business strategy,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vision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priorities, defines business plan and charter (with input from project Manager)</w:t>
            </w:r>
          </w:p>
          <w:p w:rsidR="7D9E1E08" w:rsidP="7D9E1E08" w:rsidRDefault="7D9E1E08" w14:paraId="6E40B586" w14:textId="0AAF407D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Provides counsel and direction to project Manager and team</w:t>
            </w:r>
          </w:p>
          <w:p w:rsidR="7D9E1E08" w:rsidP="7D9E1E08" w:rsidRDefault="7D9E1E08" w14:paraId="7F904BA5" w14:textId="69C98C8A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Reviews escalated items and provides decisions on next steps</w:t>
            </w:r>
          </w:p>
          <w:p w:rsidR="7D9E1E08" w:rsidP="7D9E1E08" w:rsidRDefault="7D9E1E08" w14:paraId="595AD73C" w14:textId="0B5159EC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Removes barriers to progress for the project team</w:t>
            </w:r>
          </w:p>
          <w:p w:rsidR="7D9E1E08" w:rsidP="7D9E1E08" w:rsidRDefault="7D9E1E08" w14:paraId="71FBDCCE" w14:textId="75F45294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Provides subject matter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expertise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guidance on functionality</w:t>
            </w:r>
          </w:p>
          <w:p w:rsidR="7D9E1E08" w:rsidP="7D9E1E08" w:rsidRDefault="7D9E1E08" w14:paraId="652FEDB1" w14:textId="7078986A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Ensure resources provide necessary inputs and deliverables for the project</w:t>
            </w:r>
          </w:p>
          <w:p w:rsidR="7D9E1E08" w:rsidP="7D9E1E08" w:rsidRDefault="7D9E1E08" w14:paraId="18C00D72" w14:textId="531AA3E2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9E1E08" w:rsidR="7D9E1E0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Ultimately accountable</w:t>
            </w:r>
            <w:r w:rsidRPr="7D9E1E08" w:rsidR="7D9E1E08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 the project business value delivery </w:t>
            </w:r>
          </w:p>
          <w:p w:rsidR="7D9E1E08" w:rsidP="7D9E1E08" w:rsidRDefault="7D9E1E08" w14:paraId="5D91ACA5" w14:textId="5E87A9DF">
            <w:pPr>
              <w:pStyle w:val="ListParagraph"/>
              <w:numPr>
                <w:ilvl w:val="0"/>
                <w:numId w:val="11"/>
              </w:numPr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Accountable to Governance </w:t>
            </w:r>
          </w:p>
          <w:p w:rsidR="7D9E1E08" w:rsidP="7D9E1E08" w:rsidRDefault="7D9E1E08" w14:paraId="30A727BB" w14:textId="68A841E2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Approve Project Manager assignment</w:t>
            </w:r>
          </w:p>
          <w:p w:rsidR="7D9E1E08" w:rsidP="7D9E1E08" w:rsidRDefault="7D9E1E08" w14:paraId="3E694D79" w14:textId="295A1CF3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7D9E1E08" w:rsidP="7D9E1E08" w:rsidRDefault="7D9E1E08" w14:paraId="6B4DE17C" w14:textId="6E4BE8AE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9E1E08" w:rsidP="7D9E1E08" w:rsidRDefault="7D9E1E08" w14:paraId="1F76FD8A" w14:textId="7C3341F5">
            <w:pPr>
              <w:spacing w:line="276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D9E1E08" w:rsidTr="7D9E1E08" w14:paraId="1A32A414">
        <w:trPr>
          <w:trHeight w:val="300"/>
        </w:trPr>
        <w:tc>
          <w:tcPr>
            <w:tcW w:w="22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3C600630" w14:textId="610F26F4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Stakeholders:</w:t>
            </w:r>
            <w:r w:rsidRPr="7D9E1E08" w:rsidR="7D9E1E08">
              <w:rPr>
                <w:rFonts w:ascii="Segoe UI" w:hAnsi="Segoe UI" w:eastAsia="Segoe UI" w:cs="Segoe U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GB"/>
              </w:rPr>
              <w:t>Have an interest or a role in influencing the project process or the outcomes/benefits of the project</w:t>
            </w:r>
          </w:p>
        </w:tc>
        <w:tc>
          <w:tcPr>
            <w:tcW w:w="7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6656106B" w14:textId="308A0B05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Not directly involved in the project process or owners of the project outcomes</w:t>
            </w:r>
          </w:p>
          <w:p w:rsidR="7D9E1E08" w:rsidP="7D9E1E08" w:rsidRDefault="7D9E1E08" w14:paraId="1B4D48C7" w14:textId="4F7EAE39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</w:pPr>
          </w:p>
          <w:p w:rsidR="7D9E1E08" w:rsidP="7D9E1E08" w:rsidRDefault="7D9E1E08" w14:paraId="20ACBF11" w14:textId="25F46917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Not assigned to the project delivery process</w:t>
            </w:r>
          </w:p>
        </w:tc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9E1E08" w:rsidP="7D9E1E08" w:rsidRDefault="7D9E1E08" w14:paraId="31100C5A" w14:textId="76E279F9">
            <w:pPr>
              <w:spacing w:line="276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D9E1E08" w:rsidTr="7D9E1E08" w14:paraId="1D31FA21">
        <w:trPr>
          <w:trHeight w:val="300"/>
        </w:trPr>
        <w:tc>
          <w:tcPr>
            <w:tcW w:w="22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250F7054" w14:textId="65ECD6A1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7D9E1E08" w:rsidR="7D9E1E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Project Manager: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Manages project activities and is accountable for delivery of capabilities</w:t>
            </w:r>
          </w:p>
        </w:tc>
        <w:tc>
          <w:tcPr>
            <w:tcW w:w="7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7A41B552" w14:textId="149A16C2">
            <w:pPr>
              <w:pStyle w:val="TableBullet1"/>
              <w:spacing w:before="60" w:after="6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Accountable for quality project execution to enable the successful delivery of the capabilities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identified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in the project charter</w:t>
            </w:r>
          </w:p>
          <w:p w:rsidR="7D9E1E08" w:rsidP="7D9E1E08" w:rsidRDefault="7D9E1E08" w14:paraId="02038B02" w14:textId="699C84CA">
            <w:pPr>
              <w:pStyle w:val="TableBullet1"/>
              <w:spacing w:before="60" w:after="6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Works with the sponsor and steering committee to define the strategy, vision, goals,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objectives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benefits for project </w:t>
            </w:r>
          </w:p>
          <w:p w:rsidR="7D9E1E08" w:rsidP="7D9E1E08" w:rsidRDefault="7D9E1E08" w14:paraId="4E6933F3" w14:textId="6D9AD5EB">
            <w:pPr>
              <w:pStyle w:val="TableBullet1"/>
              <w:spacing w:before="60" w:after="6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Responsible for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day to day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coordination and execution of project activities including communications, scope, time, cost, risk, resources, stakeholders, and change management</w:t>
            </w:r>
          </w:p>
          <w:p w:rsidR="7D9E1E08" w:rsidP="7D9E1E08" w:rsidRDefault="7D9E1E08" w14:paraId="2D3F51A0" w14:textId="2529C4C2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Tracks metrics and monitors progress toward achieving benefits, measures value realization at project completion </w:t>
            </w:r>
          </w:p>
          <w:p w:rsidR="7D9E1E08" w:rsidP="7D9E1E08" w:rsidRDefault="7D9E1E08" w14:paraId="259BF68B" w14:textId="68FC4FA7">
            <w:pPr>
              <w:pStyle w:val="TableBullet1"/>
              <w:spacing w:before="0"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9E1E08" w:rsidP="7D9E1E08" w:rsidRDefault="7D9E1E08" w14:paraId="762D450C" w14:textId="42F7C9E6">
            <w:pPr>
              <w:spacing w:line="276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D9E1E08" w:rsidTr="7D9E1E08" w14:paraId="55056DA4">
        <w:trPr>
          <w:trHeight w:val="300"/>
        </w:trPr>
        <w:tc>
          <w:tcPr>
            <w:tcW w:w="22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7FB3EE60" w14:textId="41A27C2E">
            <w:pPr>
              <w:pStyle w:val="TableText"/>
              <w:spacing w:before="60" w:after="60"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Project Team: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Responsible for business area delivery of project capabilities and business value</w:t>
            </w:r>
          </w:p>
          <w:p w:rsidR="7D9E1E08" w:rsidP="7D9E1E08" w:rsidRDefault="7D9E1E08" w14:paraId="568642A6" w14:textId="5C5AE356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6A639A1C" w14:textId="6DEB0065">
            <w:pPr>
              <w:pStyle w:val="TableBullet1"/>
              <w:spacing w:before="60" w:after="6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Responsible for deliverables in assigned business area and act as change agents to ensure business readiness to accept the change</w:t>
            </w:r>
          </w:p>
          <w:p w:rsidR="7D9E1E08" w:rsidP="7D9E1E08" w:rsidRDefault="7D9E1E08" w14:paraId="5E73F82F" w14:textId="4C719693">
            <w:pPr>
              <w:pStyle w:val="TableBullet1"/>
              <w:spacing w:before="60" w:after="6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Serves as liaisons to functional areas to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assist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with gathering information</w:t>
            </w:r>
          </w:p>
          <w:p w:rsidR="7D9E1E08" w:rsidP="7D9E1E08" w:rsidRDefault="7D9E1E08" w14:paraId="04E8DA9F" w14:textId="04041A88">
            <w:pPr>
              <w:pStyle w:val="TableBullet1"/>
              <w:spacing w:before="60" w:after="6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Responsible for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identifying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, appraising, and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determining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solution recommendations as well as to communicate any changes and/or risks that will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impact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the project, as well as validating findings and recommendations from subject matter experts</w:t>
            </w:r>
          </w:p>
        </w:tc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9E1E08" w:rsidP="7D9E1E08" w:rsidRDefault="7D9E1E08" w14:paraId="5428FB0E" w14:textId="0FD8BBB9">
            <w:pPr>
              <w:spacing w:line="276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D9E1E08" w:rsidTr="7D9E1E08" w14:paraId="3674ECFD">
        <w:trPr>
          <w:trHeight w:val="300"/>
        </w:trPr>
        <w:tc>
          <w:tcPr>
            <w:tcW w:w="22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66FC87CE" w14:textId="42D3FFC7">
            <w:pPr>
              <w:pStyle w:val="TableText"/>
              <w:spacing w:before="60" w:after="60"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Subject Matter Experts: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Provide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expertise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on process,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>systems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en-US"/>
              </w:rPr>
              <w:t xml:space="preserve"> and requirements</w:t>
            </w:r>
          </w:p>
        </w:tc>
        <w:tc>
          <w:tcPr>
            <w:tcW w:w="70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7D9E1E08" w:rsidP="7D9E1E08" w:rsidRDefault="7D9E1E08" w14:paraId="3C80B65A" w14:textId="39456FA7">
            <w:pPr>
              <w:pStyle w:val="TableBullet1"/>
              <w:spacing w:before="0" w:after="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Works with project manager and external resources to deliver on project activities</w:t>
            </w:r>
          </w:p>
          <w:p w:rsidR="7D9E1E08" w:rsidP="7D9E1E08" w:rsidRDefault="7D9E1E08" w14:paraId="500649C3" w14:textId="5593E0A7">
            <w:pPr>
              <w:pStyle w:val="TableBullet1"/>
              <w:spacing w:before="0" w:after="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Provides subject matter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expertise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around processes, requirements, 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functions</w:t>
            </w: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technology and provides validation during working sessions</w:t>
            </w:r>
          </w:p>
          <w:p w:rsidR="7D9E1E08" w:rsidP="7D9E1E08" w:rsidRDefault="7D9E1E08" w14:paraId="07021018" w14:textId="25C167CE">
            <w:pPr>
              <w:pStyle w:val="TableBullet1"/>
              <w:spacing w:before="0" w:after="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Provides expected deliverables </w:t>
            </w:r>
          </w:p>
          <w:p w:rsidR="7D9E1E08" w:rsidP="7D9E1E08" w:rsidRDefault="7D9E1E08" w14:paraId="63DB6B0E" w14:textId="464A0E33">
            <w:pPr>
              <w:pStyle w:val="TableBullet1"/>
              <w:spacing w:before="0" w:after="0" w:line="276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D9E1E08" w:rsidR="7D9E1E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Participates in communications, status updates, and metric management</w:t>
            </w:r>
          </w:p>
        </w:tc>
        <w:tc>
          <w:tcPr>
            <w:tcW w:w="342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7D9E1E08" w:rsidP="7D9E1E08" w:rsidRDefault="7D9E1E08" w14:paraId="2499EB3B" w14:textId="7B4D6E3D">
            <w:pPr>
              <w:spacing w:line="276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6E0108" w:rsidR="00B32D0B" w:rsidP="7D9E1E08" w:rsidRDefault="00B32D0B" w14:paraId="78D28DAE" w14:textId="5B945FC6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E0108" w:rsidR="00B32D0B" w:rsidP="006E0108" w:rsidRDefault="00B32D0B" w14:paraId="3DF8ED26" w14:textId="2E236136"/>
    <w:sectPr w:rsidRPr="006E0108" w:rsidR="00B32D0B" w:rsidSect="00874E65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7D9E1E08">
      <w:drawing>
        <wp:inline wp14:editId="72BD0B55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1bdb376ff1dc4d7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7D9E1E08" w:rsidP="7D9E1E08" w:rsidRDefault="7D9E1E08" w14:paraId="37C8492A" w14:textId="37EACD27">
    <w:pPr>
      <w:pStyle w:val="Header"/>
      <w:tabs>
        <w:tab w:val="center" w:leader="none" w:pos="4680"/>
        <w:tab w:val="right" w:leader="none" w:pos="9360"/>
      </w:tabs>
      <w:spacing w:before="120" w:after="120"/>
      <w:jc w:val="center"/>
      <w:rPr>
        <w:noProof w:val="0"/>
        <w:lang w:val="en-US"/>
      </w:rPr>
    </w:pPr>
    <w:r w:rsidRPr="7D9E1E08" w:rsidR="7D9E1E08">
      <w:rPr>
        <w:rFonts w:ascii="Calibri" w:hAnsi="Calibri" w:eastAsia="Calibri" w:cs="Calibri"/>
        <w:b w:val="1"/>
        <w:bCs w:val="1"/>
        <w:i w:val="0"/>
        <w:iCs w:val="0"/>
        <w:caps w:val="0"/>
        <w:smallCaps w:val="0"/>
        <w:noProof w:val="0"/>
        <w:color w:val="461A5B"/>
        <w:sz w:val="32"/>
        <w:szCs w:val="32"/>
        <w:lang w:val="en-US"/>
      </w:rPr>
      <w:t>Stakeholder Roles and Responsibilities for (SPECIFIC PROJECT)</w:t>
    </w:r>
  </w:p>
  <w:p w:rsidR="7D9E1E08" w:rsidP="7D9E1E08" w:rsidRDefault="7D9E1E08" w14:paraId="06BC0499" w14:textId="672125B6">
    <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</w:pPr>
    <w:r w:rsidRPr="7D9E1E08" w:rsidR="7D9E1E08">
      <w:rPr>
        <w:rFonts w:ascii="Calibri" w:hAnsi="Calibri" w:eastAsia="Calibri" w:cs="Calibri"/>
        <w:b w:val="1"/>
        <w:bCs w:val="1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Instructions: </w:t>
    </w:r>
    <w:r w:rsidRPr="7D9E1E08" w:rsidR="7D9E1E08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Review the Project and define the various roles and responsibilities, including any Project Governance entities, the project group (Sponsor, PM &amp; team), and all stakeholders - per the definitions provided. Governance may vary per Project as to which entities (individuals or bodies such as the </w:t>
    </w:r>
    <w:r w:rsidRPr="7D9E1E08" w:rsidR="7D9E1E08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>BoD</w:t>
    </w:r>
    <w:r w:rsidRPr="7D9E1E08" w:rsidR="7D9E1E08">
      <w:rPr>
        <w:rFonts w:ascii="Calibri" w:hAnsi="Calibri" w:eastAsia="Calibri" w:cs="Calibri"/>
        <w:b w:val="0"/>
        <w:bCs w:val="0"/>
        <w:i w:val="1"/>
        <w:iCs w:val="1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>) have key deliverable or milestone/gate approvals, or critical input to provide.</w:t>
    </w:r>
  </w:p>
  <w:tbl>
    <w:tblPr>
      <w:tblStyle w:val="TableGrid"/>
      <w:tblW w:w="0" w:type="auto"/>
      <w:tblBorders>
        <w:top w:val="single" w:sz="6"/>
        <w:left w:val="single" w:sz="6"/>
        <w:bottom w:val="single" w:sz="6"/>
        <w:right w:val="single" w:sz="6"/>
      </w:tblBorders>
      <w:tblLayout w:type="fixed"/>
      <w:tblLook w:val="0000" w:firstRow="0" w:lastRow="0" w:firstColumn="0" w:lastColumn="0" w:noHBand="0" w:noVBand="0"/>
    </w:tblPr>
    <w:tblGrid>
      <w:gridCol w:w="2235"/>
      <w:gridCol w:w="7020"/>
      <w:gridCol w:w="3420"/>
    </w:tblGrid>
    <w:tr w:rsidR="7D9E1E08" w:rsidTr="3B665775" w14:paraId="71EBD90C">
      <w:trPr>
        <w:trHeight w:val="300"/>
      </w:trPr>
      <w:tc>
        <w:tcPr>
          <w:tcW w:w="2235" w:type="dxa"/>
          <w:tcBorders>
            <w:top w:val="single" w:sz="6"/>
            <w:left w:val="single" w:sz="6"/>
            <w:bottom w:val="single" w:sz="6"/>
            <w:right w:val="single" w:sz="6"/>
          </w:tcBorders>
          <w:shd w:val="clear" w:color="auto" w:fill="461A5B"/>
          <w:tcMar>
            <w:left w:w="105" w:type="dxa"/>
            <w:right w:w="105" w:type="dxa"/>
          </w:tcMar>
          <w:vAlign w:val="top"/>
        </w:tcPr>
        <w:p w:rsidR="7D9E1E08" w:rsidP="7D9E1E08" w:rsidRDefault="7D9E1E08" w14:paraId="4F9D5FF2" w14:textId="577A7AE5">
          <w:pPr>
            <w:jc w:val="center"/>
            <w:rPr>
              <w:rFonts w:ascii="Calibri" w:hAnsi="Calibri" w:eastAsia="Calibri" w:cs="Calibri"/>
              <w:b w:val="1"/>
              <w:bCs w:val="1"/>
              <w:i w:val="0"/>
              <w:iCs w:val="0"/>
              <w:sz w:val="28"/>
              <w:szCs w:val="28"/>
            </w:rPr>
          </w:pPr>
        </w:p>
        <w:p w:rsidR="7D9E1E08" w:rsidP="7D9E1E08" w:rsidRDefault="7D9E1E08" w14:paraId="0DDC0F24" w14:textId="60742B33">
          <w:pPr>
            <w:jc w:val="center"/>
            <w:rPr>
              <w:rFonts w:ascii="Calibri" w:hAnsi="Calibri" w:eastAsia="Calibri" w:cs="Calibri"/>
              <w:b w:val="1"/>
              <w:bCs w:val="1"/>
              <w:i w:val="0"/>
              <w:iCs w:val="0"/>
              <w:sz w:val="28"/>
              <w:szCs w:val="28"/>
            </w:rPr>
          </w:pPr>
          <w:r w:rsidRPr="7D9E1E08" w:rsidR="7D9E1E08">
            <w:rPr>
              <w:rFonts w:ascii="Calibri" w:hAnsi="Calibri" w:eastAsia="Calibri" w:cs="Calibri"/>
              <w:b w:val="1"/>
              <w:bCs w:val="1"/>
              <w:i w:val="0"/>
              <w:iCs w:val="0"/>
              <w:sz w:val="28"/>
              <w:szCs w:val="28"/>
              <w:lang w:val="en-US"/>
            </w:rPr>
            <w:t>Role</w:t>
          </w:r>
        </w:p>
      </w:tc>
      <w:tc>
        <w:tcPr>
          <w:tcW w:w="7020" w:type="dxa"/>
          <w:tcBorders>
            <w:top w:val="single" w:sz="6"/>
            <w:left w:val="single" w:sz="6"/>
            <w:bottom w:val="single" w:sz="6"/>
            <w:right w:val="single" w:sz="6"/>
          </w:tcBorders>
          <w:shd w:val="clear" w:color="auto" w:fill="461A5B"/>
          <w:tcMar>
            <w:left w:w="105" w:type="dxa"/>
            <w:right w:w="105" w:type="dxa"/>
          </w:tcMar>
          <w:vAlign w:val="top"/>
        </w:tcPr>
        <w:p w:rsidR="7D9E1E08" w:rsidP="7D9E1E08" w:rsidRDefault="7D9E1E08" w14:paraId="7812691A" w14:textId="19CD536A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8"/>
              <w:szCs w:val="28"/>
            </w:rPr>
          </w:pPr>
        </w:p>
        <w:p w:rsidR="7D9E1E08" w:rsidP="7D9E1E08" w:rsidRDefault="7D9E1E08" w14:paraId="78874B7B" w14:textId="539A8865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8"/>
              <w:szCs w:val="28"/>
            </w:rPr>
          </w:pPr>
          <w:r w:rsidRPr="7D9E1E08" w:rsidR="7D9E1E08">
            <w:rPr>
              <w:rFonts w:ascii="Calibri" w:hAnsi="Calibri" w:eastAsia="Calibri" w:cs="Calibri"/>
              <w:b w:val="1"/>
              <w:bCs w:val="1"/>
              <w:i w:val="0"/>
              <w:iCs w:val="0"/>
              <w:sz w:val="28"/>
              <w:szCs w:val="28"/>
              <w:lang w:val="en-US"/>
            </w:rPr>
            <w:t>Responsibility</w:t>
          </w:r>
        </w:p>
      </w:tc>
      <w:tc>
        <w:tcPr>
          <w:tcW w:w="3420" w:type="dxa"/>
          <w:tcBorders>
            <w:top w:val="single" w:sz="6"/>
            <w:left w:val="single" w:sz="6"/>
            <w:bottom w:val="single" w:sz="6"/>
            <w:right w:val="single" w:sz="6"/>
          </w:tcBorders>
          <w:shd w:val="clear" w:color="auto" w:fill="461A5B"/>
          <w:tcMar>
            <w:left w:w="105" w:type="dxa"/>
            <w:right w:w="105" w:type="dxa"/>
          </w:tcMar>
          <w:vAlign w:val="top"/>
        </w:tcPr>
        <w:p w:rsidR="7D9E1E08" w:rsidP="7D9E1E08" w:rsidRDefault="7D9E1E08" w14:paraId="01403213" w14:textId="189AE470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8"/>
              <w:szCs w:val="28"/>
            </w:rPr>
          </w:pPr>
        </w:p>
        <w:p w:rsidR="7D9E1E08" w:rsidP="7D9E1E08" w:rsidRDefault="7D9E1E08" w14:paraId="061194EC" w14:textId="67FA308B">
          <w:pPr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8"/>
              <w:szCs w:val="28"/>
            </w:rPr>
          </w:pPr>
          <w:r w:rsidRPr="7D9E1E08" w:rsidR="7D9E1E08">
            <w:rPr>
              <w:rFonts w:ascii="Calibri" w:hAnsi="Calibri" w:eastAsia="Calibri" w:cs="Calibri"/>
              <w:b w:val="1"/>
              <w:bCs w:val="1"/>
              <w:i w:val="0"/>
              <w:iCs w:val="0"/>
              <w:sz w:val="28"/>
              <w:szCs w:val="28"/>
              <w:lang w:val="en-US"/>
            </w:rPr>
            <w:t>Members</w:t>
          </w:r>
        </w:p>
      </w:tc>
    </w:tr>
  </w:tbl>
  <w:p w:rsidR="7D9E1E08" w:rsidP="7D9E1E08" w:rsidRDefault="7D9E1E08" w14:paraId="6EC8E70D" w14:textId="3ED0FE2C">
    <w:pPr>
      <w:pStyle w:val="Header"/>
      <w:tabs>
        <w:tab w:val="clear" w:leader="none" w:pos="4680"/>
        <w:tab w:val="clear" w:leader="none" w:pos="9360"/>
        <w:tab w:val="left" w:leader="none" w:pos="5286"/>
        <w:tab w:val="left" w:leader="none" w:pos="5658"/>
      </w:tabs>
      <w:spacing w:before="120" w:after="120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9">
    <w:nsid w:val="7b35f1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a7c3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14ab9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57e0e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cbba4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32ea5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207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3dcc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92721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5af7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617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1F61E640"/>
    <w:rsid w:val="279F79DD"/>
    <w:rsid w:val="285FA176"/>
    <w:rsid w:val="3004BB94"/>
    <w:rsid w:val="3B665775"/>
    <w:rsid w:val="5850D969"/>
    <w:rsid w:val="5850D969"/>
    <w:rsid w:val="7D9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ableBullet1" w:customStyle="true">
    <w:uiPriority w:val="1"/>
    <w:name w:val="Table Bullet 1"/>
    <w:basedOn w:val="Normal"/>
    <w:qFormat/>
    <w:rsid w:val="7D9E1E08"/>
    <w:rPr>
      <w:rFonts w:ascii="Segoe UI" w:hAnsi="Segoe UI" w:eastAsia="Times New Roman" w:cs="Times New Roman" w:asciiTheme="minorAscii" w:hAnsiTheme="minorAscii" w:eastAsiaTheme="minorAscii" w:cstheme="minorBidi"/>
      <w:sz w:val="22"/>
      <w:szCs w:val="22"/>
    </w:rPr>
    <w:pPr>
      <w:spacing w:before="60" w:after="60"/>
    </w:pPr>
  </w:style>
  <w:style w:type="character" w:styleId="normaltextrun" w:customStyle="true">
    <w:uiPriority w:val="1"/>
    <w:name w:val="normaltextrun"/>
    <w:basedOn w:val="DefaultParagraphFont"/>
    <w:rsid w:val="7D9E1E08"/>
    <w:rPr>
      <w:rFonts w:ascii="Calibri" w:hAnsi="Calibri" w:eastAsia="Calibri" w:cs="" w:asciiTheme="minorAscii" w:hAnsiTheme="minorAscii" w:eastAsiaTheme="minorAscii" w:cstheme="minorBidi"/>
      <w:sz w:val="24"/>
      <w:szCs w:val="24"/>
    </w:rPr>
  </w:style>
  <w:style w:type="character" w:styleId="eop" w:customStyle="true">
    <w:uiPriority w:val="1"/>
    <w:name w:val="eop"/>
    <w:basedOn w:val="DefaultParagraphFont"/>
    <w:rsid w:val="7D9E1E08"/>
    <w:rPr>
      <w:rFonts w:ascii="Calibri" w:hAnsi="Calibri" w:eastAsia="Calibri" w:cs="" w:asciiTheme="minorAscii" w:hAnsiTheme="minorAscii" w:eastAsiaTheme="minorAscii" w:cstheme="minorBidi"/>
      <w:sz w:val="24"/>
      <w:szCs w:val="24"/>
    </w:rPr>
  </w:style>
  <w:style w:type="paragraph" w:styleId="TableText" w:customStyle="true">
    <w:uiPriority w:val="1"/>
    <w:name w:val="Table Text"/>
    <w:basedOn w:val="Normal"/>
    <w:qFormat/>
    <w:rsid w:val="7D9E1E08"/>
    <w:rPr>
      <w:rFonts w:ascii="Segoe UI" w:hAnsi="Segoe UI" w:eastAsia="Times New Roman" w:cs="Times New Roman" w:asciiTheme="minorAscii" w:hAnsiTheme="minorAscii" w:eastAsiaTheme="minorAscii" w:cstheme="minorBidi"/>
      <w:sz w:val="22"/>
      <w:szCs w:val="22"/>
    </w:rPr>
    <w:pPr>
      <w:spacing w:before="60" w:after="6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1bdb376ff1dc4d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Project Intake</dc:title>
  <dc:subject/>
  <dc:creator>PMO Strategies</dc:creator>
  <keywords/>
  <dc:description/>
  <lastModifiedBy>John Orong</lastModifiedBy>
  <revision>7</revision>
  <dcterms:created xsi:type="dcterms:W3CDTF">2024-11-13T12:46:00.0000000Z</dcterms:created>
  <dcterms:modified xsi:type="dcterms:W3CDTF">2024-11-25T18:21:38.1985699Z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